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7" w:type="pct"/>
        <w:jc w:val="center"/>
        <w:tblCellMar>
          <w:left w:w="0" w:type="dxa"/>
          <w:right w:w="0" w:type="dxa"/>
        </w:tblCellMar>
        <w:tblLook w:val="04A0" w:firstRow="1" w:lastRow="0" w:firstColumn="1" w:lastColumn="0" w:noHBand="0" w:noVBand="1"/>
      </w:tblPr>
      <w:tblGrid>
        <w:gridCol w:w="5508"/>
        <w:gridCol w:w="8769"/>
      </w:tblGrid>
      <w:tr w:rsidR="00990889" w:rsidRPr="00D82D5F" w14:paraId="62806F4A" w14:textId="77777777" w:rsidTr="00315F16">
        <w:trPr>
          <w:jc w:val="center"/>
        </w:trPr>
        <w:tc>
          <w:tcPr>
            <w:tcW w:w="1929" w:type="pct"/>
            <w:shd w:val="clear" w:color="auto" w:fill="auto"/>
            <w:tcMar>
              <w:top w:w="0" w:type="dxa"/>
              <w:left w:w="108" w:type="dxa"/>
              <w:bottom w:w="0" w:type="dxa"/>
              <w:right w:w="108" w:type="dxa"/>
            </w:tcMar>
            <w:hideMark/>
          </w:tcPr>
          <w:p w14:paraId="1E35D3E9" w14:textId="77777777" w:rsidR="00990889" w:rsidRPr="00E22F0F" w:rsidRDefault="00990889" w:rsidP="00A61204">
            <w:pPr>
              <w:shd w:val="clear" w:color="auto" w:fill="FFFFFF" w:themeFill="background1"/>
              <w:spacing w:after="0" w:line="240" w:lineRule="auto"/>
              <w:jc w:val="center"/>
              <w:rPr>
                <w:rFonts w:eastAsia="Times New Roman" w:cs="Times New Roman"/>
                <w:bCs/>
                <w:color w:val="000000" w:themeColor="text1"/>
                <w:sz w:val="26"/>
                <w:szCs w:val="28"/>
                <w:lang w:val="en-SG"/>
              </w:rPr>
            </w:pPr>
            <w:r w:rsidRPr="00E22F0F">
              <w:rPr>
                <w:rFonts w:eastAsia="Times New Roman" w:cs="Times New Roman"/>
                <w:bCs/>
                <w:color w:val="000000" w:themeColor="text1"/>
                <w:sz w:val="26"/>
                <w:szCs w:val="28"/>
                <w:lang w:val="en-SG"/>
              </w:rPr>
              <w:t>UBND THÀNH PHỐ HUẾ</w:t>
            </w:r>
          </w:p>
          <w:p w14:paraId="120F6498" w14:textId="4784B87C" w:rsidR="00990889" w:rsidRPr="00E22F0F" w:rsidRDefault="00990889" w:rsidP="004C3FF3">
            <w:pPr>
              <w:shd w:val="clear" w:color="auto" w:fill="FFFFFF" w:themeFill="background1"/>
              <w:spacing w:after="0" w:line="240" w:lineRule="auto"/>
              <w:jc w:val="center"/>
              <w:rPr>
                <w:rFonts w:eastAsia="Times New Roman" w:cs="Times New Roman"/>
                <w:bCs/>
                <w:color w:val="000000" w:themeColor="text1"/>
                <w:sz w:val="26"/>
                <w:szCs w:val="28"/>
                <w:lang w:val="en-SG"/>
              </w:rPr>
            </w:pPr>
            <w:r w:rsidRPr="00E22F0F">
              <w:rPr>
                <w:rFonts w:eastAsia="Times New Roman" w:cs="Times New Roman"/>
                <w:b/>
                <w:bCs/>
                <w:color w:val="000000" w:themeColor="text1"/>
                <w:sz w:val="26"/>
                <w:szCs w:val="28"/>
                <w:lang w:val="en-SG"/>
              </w:rPr>
              <w:t xml:space="preserve">SỞ </w:t>
            </w:r>
            <w:r w:rsidR="004C3FF3" w:rsidRPr="00E22F0F">
              <w:rPr>
                <w:rFonts w:eastAsia="Times New Roman" w:cs="Times New Roman"/>
                <w:b/>
                <w:bCs/>
                <w:color w:val="000000" w:themeColor="text1"/>
                <w:sz w:val="26"/>
                <w:szCs w:val="28"/>
                <w:lang w:val="en-SG"/>
              </w:rPr>
              <w:t>NÔNG NGHIỆP VÀ MÔI TRƯỜNG</w:t>
            </w:r>
          </w:p>
        </w:tc>
        <w:tc>
          <w:tcPr>
            <w:tcW w:w="3071" w:type="pct"/>
            <w:shd w:val="clear" w:color="auto" w:fill="auto"/>
            <w:tcMar>
              <w:top w:w="0" w:type="dxa"/>
              <w:left w:w="108" w:type="dxa"/>
              <w:bottom w:w="0" w:type="dxa"/>
              <w:right w:w="108" w:type="dxa"/>
            </w:tcMar>
            <w:hideMark/>
          </w:tcPr>
          <w:p w14:paraId="7392D19D" w14:textId="0036EDDA" w:rsidR="00990889" w:rsidRPr="00D82D5F" w:rsidRDefault="00990889" w:rsidP="00A61204">
            <w:pPr>
              <w:shd w:val="clear" w:color="auto" w:fill="FFFFFF" w:themeFill="background1"/>
              <w:spacing w:after="0" w:line="240" w:lineRule="auto"/>
              <w:jc w:val="center"/>
              <w:rPr>
                <w:rFonts w:eastAsia="Times New Roman" w:cs="Times New Roman"/>
                <w:color w:val="000000" w:themeColor="text1"/>
                <w:sz w:val="24"/>
                <w:szCs w:val="28"/>
              </w:rPr>
            </w:pPr>
            <w:r w:rsidRPr="00D82D5F">
              <w:rPr>
                <w:rFonts w:eastAsia="Times New Roman" w:cs="Times New Roman"/>
                <w:b/>
                <w:bCs/>
                <w:color w:val="000000" w:themeColor="text1"/>
                <w:sz w:val="26"/>
                <w:szCs w:val="28"/>
              </w:rPr>
              <w:t>CỘNG HÒA XÃ HỘI CHỦ NGHĨA VIỆT NAM</w:t>
            </w:r>
            <w:r w:rsidRPr="00D82D5F">
              <w:rPr>
                <w:rFonts w:eastAsia="Times New Roman" w:cs="Times New Roman"/>
                <w:b/>
                <w:bCs/>
                <w:color w:val="000000" w:themeColor="text1"/>
                <w:sz w:val="26"/>
                <w:szCs w:val="28"/>
              </w:rPr>
              <w:br/>
            </w:r>
            <w:r w:rsidRPr="00E2103C">
              <w:rPr>
                <w:rFonts w:eastAsia="Times New Roman" w:cs="Times New Roman"/>
                <w:b/>
                <w:bCs/>
                <w:color w:val="000000" w:themeColor="text1"/>
                <w:szCs w:val="28"/>
              </w:rPr>
              <w:t>Độc lập - Tự do - Hạnh phúc</w:t>
            </w:r>
          </w:p>
        </w:tc>
      </w:tr>
      <w:tr w:rsidR="00990889" w:rsidRPr="00D82D5F" w14:paraId="65EC896C" w14:textId="77777777" w:rsidTr="00315F16">
        <w:trPr>
          <w:jc w:val="center"/>
        </w:trPr>
        <w:tc>
          <w:tcPr>
            <w:tcW w:w="1929" w:type="pct"/>
            <w:shd w:val="clear" w:color="auto" w:fill="auto"/>
            <w:tcMar>
              <w:top w:w="0" w:type="dxa"/>
              <w:left w:w="108" w:type="dxa"/>
              <w:bottom w:w="0" w:type="dxa"/>
              <w:right w:w="108" w:type="dxa"/>
            </w:tcMar>
            <w:hideMark/>
          </w:tcPr>
          <w:p w14:paraId="743A6271" w14:textId="77777777" w:rsidR="00990889" w:rsidRPr="00D82D5F" w:rsidRDefault="00990889" w:rsidP="00A61204">
            <w:pPr>
              <w:shd w:val="clear" w:color="auto" w:fill="FFFFFF" w:themeFill="background1"/>
              <w:spacing w:after="0" w:line="240" w:lineRule="auto"/>
              <w:jc w:val="both"/>
              <w:rPr>
                <w:rFonts w:eastAsia="Times New Roman" w:cs="Times New Roman"/>
                <w:color w:val="000000" w:themeColor="text1"/>
                <w:szCs w:val="28"/>
              </w:rPr>
            </w:pPr>
            <w:r w:rsidRPr="00D82D5F">
              <w:rPr>
                <w:rFonts w:eastAsia="Times New Roman" w:cs="Times New Roman"/>
                <w:b/>
                <w:bCs/>
                <w:noProof/>
                <w:color w:val="000000" w:themeColor="text1"/>
                <w:szCs w:val="28"/>
              </w:rPr>
              <mc:AlternateContent>
                <mc:Choice Requires="wps">
                  <w:drawing>
                    <wp:anchor distT="0" distB="0" distL="114300" distR="114300" simplePos="0" relativeHeight="251659264" behindDoc="0" locked="0" layoutInCell="1" allowOverlap="1" wp14:anchorId="1A2F04D8" wp14:editId="7EB791FD">
                      <wp:simplePos x="0" y="0"/>
                      <wp:positionH relativeFrom="column">
                        <wp:posOffset>1080135</wp:posOffset>
                      </wp:positionH>
                      <wp:positionV relativeFrom="paragraph">
                        <wp:posOffset>31750</wp:posOffset>
                      </wp:positionV>
                      <wp:extent cx="126000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2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088AC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05pt,2.5pt" to="18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" strokecolor="black [3200]" strokeweight=".5pt">
                      <v:stroke joinstyle="miter"/>
                    </v:line>
                  </w:pict>
                </mc:Fallback>
              </mc:AlternateContent>
            </w:r>
            <w:r w:rsidRPr="00D82D5F">
              <w:rPr>
                <w:rFonts w:eastAsia="Times New Roman" w:cs="Times New Roman"/>
                <w:color w:val="000000" w:themeColor="text1"/>
                <w:szCs w:val="28"/>
              </w:rPr>
              <w:t> </w:t>
            </w:r>
          </w:p>
        </w:tc>
        <w:tc>
          <w:tcPr>
            <w:tcW w:w="3071" w:type="pct"/>
            <w:shd w:val="clear" w:color="auto" w:fill="auto"/>
            <w:tcMar>
              <w:top w:w="0" w:type="dxa"/>
              <w:left w:w="108" w:type="dxa"/>
              <w:bottom w:w="0" w:type="dxa"/>
              <w:right w:w="108" w:type="dxa"/>
            </w:tcMar>
            <w:hideMark/>
          </w:tcPr>
          <w:p w14:paraId="7EDF6CDA" w14:textId="564F7E57" w:rsidR="00990889" w:rsidRPr="00D82D5F" w:rsidRDefault="00E2103C" w:rsidP="00A61204">
            <w:pPr>
              <w:shd w:val="clear" w:color="auto" w:fill="FFFFFF" w:themeFill="background1"/>
              <w:spacing w:after="0" w:line="240" w:lineRule="auto"/>
              <w:jc w:val="center"/>
              <w:rPr>
                <w:rFonts w:eastAsia="Times New Roman" w:cs="Times New Roman"/>
                <w:i/>
                <w:iCs/>
                <w:color w:val="000000" w:themeColor="text1"/>
                <w:szCs w:val="28"/>
                <w:lang w:val="en-SG"/>
              </w:rPr>
            </w:pPr>
            <w:r w:rsidRPr="00D82D5F">
              <w:rPr>
                <w:rFonts w:eastAsia="Times New Roman" w:cs="Times New Roman"/>
                <w:b/>
                <w:bCs/>
                <w:noProof/>
                <w:color w:val="000000" w:themeColor="text1"/>
                <w:sz w:val="26"/>
                <w:szCs w:val="28"/>
              </w:rPr>
              <mc:AlternateContent>
                <mc:Choice Requires="wps">
                  <w:drawing>
                    <wp:anchor distT="0" distB="0" distL="114300" distR="114300" simplePos="0" relativeHeight="251660288" behindDoc="0" locked="0" layoutInCell="1" allowOverlap="1" wp14:anchorId="3E60D4E4" wp14:editId="72830307">
                      <wp:simplePos x="0" y="0"/>
                      <wp:positionH relativeFrom="column">
                        <wp:posOffset>1622425</wp:posOffset>
                      </wp:positionH>
                      <wp:positionV relativeFrom="paragraph">
                        <wp:posOffset>26670</wp:posOffset>
                      </wp:positionV>
                      <wp:extent cx="212400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21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023E5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75pt,2.1pt" to="2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QrtAEAALcDAAAOAAAAZHJzL2Uyb0RvYy54bWysU8GOEzEMvSPxD1HudKYjhN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" strokecolor="black [3200]" strokeweight=".5pt">
                      <v:stroke joinstyle="miter"/>
                    </v:line>
                  </w:pict>
                </mc:Fallback>
              </mc:AlternateContent>
            </w:r>
          </w:p>
          <w:p w14:paraId="5C5FE54C" w14:textId="2C1C9483" w:rsidR="00990889" w:rsidRPr="00D82D5F" w:rsidRDefault="00990889" w:rsidP="004C3FF3">
            <w:pPr>
              <w:shd w:val="clear" w:color="auto" w:fill="FFFFFF" w:themeFill="background1"/>
              <w:spacing w:after="0" w:line="240" w:lineRule="auto"/>
              <w:jc w:val="center"/>
              <w:rPr>
                <w:rFonts w:eastAsia="Times New Roman" w:cs="Times New Roman"/>
                <w:color w:val="000000" w:themeColor="text1"/>
                <w:szCs w:val="28"/>
              </w:rPr>
            </w:pPr>
            <w:r w:rsidRPr="00D82D5F">
              <w:rPr>
                <w:rFonts w:eastAsia="Times New Roman" w:cs="Times New Roman"/>
                <w:i/>
                <w:iCs/>
                <w:color w:val="000000" w:themeColor="text1"/>
                <w:szCs w:val="28"/>
                <w:lang w:val="en-SG"/>
              </w:rPr>
              <w:t>Huế</w:t>
            </w:r>
            <w:r w:rsidRPr="00D82D5F">
              <w:rPr>
                <w:rFonts w:eastAsia="Times New Roman" w:cs="Times New Roman"/>
                <w:i/>
                <w:iCs/>
                <w:color w:val="000000" w:themeColor="text1"/>
                <w:szCs w:val="28"/>
              </w:rPr>
              <w:t xml:space="preserve">, ngày </w:t>
            </w:r>
            <w:r w:rsidR="004C3FF3">
              <w:rPr>
                <w:rFonts w:eastAsia="Times New Roman" w:cs="Times New Roman"/>
                <w:i/>
                <w:iCs/>
                <w:color w:val="000000" w:themeColor="text1"/>
                <w:szCs w:val="28"/>
              </w:rPr>
              <w:t xml:space="preserve">     </w:t>
            </w:r>
            <w:r w:rsidRPr="00D82D5F">
              <w:rPr>
                <w:rFonts w:eastAsia="Times New Roman" w:cs="Times New Roman"/>
                <w:i/>
                <w:iCs/>
                <w:color w:val="000000" w:themeColor="text1"/>
                <w:szCs w:val="28"/>
              </w:rPr>
              <w:t xml:space="preserve"> tháng </w:t>
            </w:r>
            <w:r w:rsidR="004C3FF3">
              <w:rPr>
                <w:rFonts w:eastAsia="Times New Roman" w:cs="Times New Roman"/>
                <w:i/>
                <w:iCs/>
                <w:color w:val="000000" w:themeColor="text1"/>
                <w:szCs w:val="28"/>
              </w:rPr>
              <w:t>5</w:t>
            </w:r>
            <w:r w:rsidRPr="00D82D5F">
              <w:rPr>
                <w:rFonts w:eastAsia="Times New Roman" w:cs="Times New Roman"/>
                <w:i/>
                <w:iCs/>
                <w:color w:val="000000" w:themeColor="text1"/>
                <w:szCs w:val="28"/>
              </w:rPr>
              <w:t xml:space="preserve"> năm</w:t>
            </w:r>
            <w:r w:rsidRPr="00D82D5F">
              <w:rPr>
                <w:rFonts w:eastAsia="Times New Roman" w:cs="Times New Roman"/>
                <w:i/>
                <w:iCs/>
                <w:color w:val="000000" w:themeColor="text1"/>
                <w:szCs w:val="28"/>
                <w:lang w:val="en-SG"/>
              </w:rPr>
              <w:t> 2026</w:t>
            </w:r>
          </w:p>
        </w:tc>
      </w:tr>
    </w:tbl>
    <w:p w14:paraId="5BB3DD18" w14:textId="77777777" w:rsidR="00990889" w:rsidRDefault="00990889" w:rsidP="00990889">
      <w:pPr>
        <w:spacing w:after="0"/>
        <w:jc w:val="both"/>
        <w:rPr>
          <w:b/>
          <w:bCs/>
        </w:rPr>
      </w:pPr>
    </w:p>
    <w:p w14:paraId="2F564005" w14:textId="798AAEBC" w:rsidR="00E03426" w:rsidRPr="00B43416" w:rsidRDefault="00D8762F" w:rsidP="00B43416">
      <w:pPr>
        <w:spacing w:after="0"/>
        <w:jc w:val="center"/>
        <w:rPr>
          <w:b/>
          <w:bCs/>
        </w:rPr>
      </w:pPr>
      <w:r w:rsidRPr="00B43416">
        <w:rPr>
          <w:b/>
          <w:bCs/>
        </w:rPr>
        <w:t>BẢN THUYẾT MINH NỘI DUNG</w:t>
      </w:r>
    </w:p>
    <w:p w14:paraId="6E55D3F7" w14:textId="5F306734" w:rsidR="00B43416" w:rsidRPr="00D32EC9" w:rsidRDefault="00125D61" w:rsidP="00B43416">
      <w:pPr>
        <w:spacing w:after="0"/>
        <w:jc w:val="center"/>
        <w:rPr>
          <w:b/>
          <w:bCs/>
          <w:szCs w:val="28"/>
        </w:rPr>
      </w:pPr>
      <w:r w:rsidRPr="00076D5E">
        <w:rPr>
          <w:b/>
          <w:bCs/>
          <w:szCs w:val="28"/>
        </w:rPr>
        <w:t xml:space="preserve">Dự thảo </w:t>
      </w:r>
      <w:r w:rsidR="00D32EC9" w:rsidRPr="00D32EC9">
        <w:rPr>
          <w:b/>
          <w:szCs w:val="28"/>
        </w:rPr>
        <w:t xml:space="preserve">Nghị quyết bãi bỏ </w:t>
      </w:r>
      <w:r w:rsidR="00D32EC9" w:rsidRPr="00D32EC9">
        <w:rPr>
          <w:b/>
          <w:color w:val="000000"/>
          <w:szCs w:val="28"/>
        </w:rPr>
        <w:t>Nghị quyết số 09/2025/NQ-HĐND ngày 25 tháng 4 năm 2025 của HĐND thành phố quy định thẩm quyền quyết định thanh lý rừng trồng trên địa bàn thành phố Huế</w:t>
      </w:r>
    </w:p>
    <w:p w14:paraId="44C94C8E" w14:textId="77777777" w:rsidR="00125D61" w:rsidRPr="00B43416" w:rsidRDefault="00125D61" w:rsidP="00B43416">
      <w:pPr>
        <w:spacing w:after="0"/>
        <w:jc w:val="center"/>
        <w:rPr>
          <w:i/>
          <w:iCs/>
        </w:rPr>
      </w:pPr>
    </w:p>
    <w:tbl>
      <w:tblPr>
        <w:tblStyle w:val="TableGrid"/>
        <w:tblW w:w="14029" w:type="dxa"/>
        <w:tblLook w:val="04A0" w:firstRow="1" w:lastRow="0" w:firstColumn="1" w:lastColumn="0" w:noHBand="0" w:noVBand="1"/>
      </w:tblPr>
      <w:tblGrid>
        <w:gridCol w:w="5555"/>
        <w:gridCol w:w="8474"/>
      </w:tblGrid>
      <w:tr w:rsidR="006F6E59" w:rsidRPr="00882647" w14:paraId="59D8F577" w14:textId="77777777" w:rsidTr="009F4CAE">
        <w:trPr>
          <w:tblHeader/>
        </w:trPr>
        <w:tc>
          <w:tcPr>
            <w:tcW w:w="5555" w:type="dxa"/>
            <w:vAlign w:val="center"/>
          </w:tcPr>
          <w:p w14:paraId="2AE9CA8F" w14:textId="3BABBC80" w:rsidR="006F6E59" w:rsidRPr="00882647" w:rsidRDefault="00125D61" w:rsidP="00E151D7">
            <w:pPr>
              <w:spacing w:before="40" w:after="40" w:line="276" w:lineRule="auto"/>
              <w:jc w:val="center"/>
              <w:rPr>
                <w:b/>
                <w:bCs/>
                <w:szCs w:val="28"/>
              </w:rPr>
            </w:pPr>
            <w:bookmarkStart w:id="0" w:name="_GoBack"/>
            <w:r w:rsidRPr="00882647">
              <w:rPr>
                <w:b/>
                <w:bCs/>
                <w:szCs w:val="28"/>
              </w:rPr>
              <w:t>DỰ THẢO VĂN BẢN</w:t>
            </w:r>
          </w:p>
        </w:tc>
        <w:tc>
          <w:tcPr>
            <w:tcW w:w="8474" w:type="dxa"/>
            <w:vAlign w:val="center"/>
          </w:tcPr>
          <w:p w14:paraId="47B99370" w14:textId="749F5BB7" w:rsidR="006F6E59" w:rsidRPr="00882647" w:rsidRDefault="00125D61" w:rsidP="00E151D7">
            <w:pPr>
              <w:spacing w:before="40" w:after="40" w:line="276" w:lineRule="auto"/>
              <w:jc w:val="center"/>
              <w:rPr>
                <w:b/>
                <w:bCs/>
                <w:szCs w:val="28"/>
              </w:rPr>
            </w:pPr>
            <w:r w:rsidRPr="00882647">
              <w:rPr>
                <w:b/>
                <w:bCs/>
                <w:szCs w:val="28"/>
              </w:rPr>
              <w:t>THUYẾT MINH</w:t>
            </w:r>
          </w:p>
        </w:tc>
      </w:tr>
      <w:bookmarkEnd w:id="0"/>
      <w:tr w:rsidR="006F6E59" w:rsidRPr="00882647" w14:paraId="60C1596D" w14:textId="77777777" w:rsidTr="00315F16">
        <w:tc>
          <w:tcPr>
            <w:tcW w:w="5555" w:type="dxa"/>
          </w:tcPr>
          <w:p w14:paraId="0F4D76E3" w14:textId="0F6757AC" w:rsidR="006F6E59" w:rsidRPr="003F7A37" w:rsidRDefault="006F6E59" w:rsidP="003F7A37">
            <w:pPr>
              <w:widowControl w:val="0"/>
              <w:spacing w:before="120"/>
              <w:ind w:firstLine="720"/>
              <w:jc w:val="both"/>
              <w:rPr>
                <w:b/>
                <w:szCs w:val="28"/>
                <w:lang w:val="af-ZA"/>
              </w:rPr>
            </w:pPr>
            <w:r w:rsidRPr="003F7A37">
              <w:rPr>
                <w:b/>
                <w:szCs w:val="28"/>
                <w:lang w:val="af-ZA"/>
              </w:rPr>
              <w:t xml:space="preserve">Điều 1. </w:t>
            </w:r>
            <w:r w:rsidR="0018075F" w:rsidRPr="003F7A37">
              <w:rPr>
                <w:szCs w:val="28"/>
                <w:lang w:val="af-ZA"/>
              </w:rPr>
              <w:t>Bãi bỏ toàn bộ Nghị quyết số 09/2025/NQ-HĐND ngày 25 tháng 4 năm 2025 của Hội đồng nhân dân thành phố Huế quy định thẩm quyền quyết định thanh lý rừng trồng trên địa bàn thành phố Huế</w:t>
            </w:r>
          </w:p>
        </w:tc>
        <w:tc>
          <w:tcPr>
            <w:tcW w:w="8474" w:type="dxa"/>
          </w:tcPr>
          <w:p w14:paraId="09923E47" w14:textId="77777777" w:rsidR="003F7A37" w:rsidRDefault="00DE2ADA" w:rsidP="003F7A37">
            <w:pPr>
              <w:widowControl w:val="0"/>
              <w:spacing w:before="120"/>
              <w:ind w:firstLine="720"/>
              <w:jc w:val="both"/>
              <w:rPr>
                <w:szCs w:val="28"/>
                <w:lang w:val="af-ZA"/>
              </w:rPr>
            </w:pPr>
            <w:r w:rsidRPr="003F7A37">
              <w:rPr>
                <w:szCs w:val="28"/>
                <w:lang w:val="af-ZA"/>
              </w:rPr>
              <w:t>Nghị quyết số 09/2025/NQ-HĐND ngày 25/4/2025 của HĐND thành phố quy định thẩm quyền quyết định thanh lý rừng trồng trên địa bàn thành phố Huế được ban hành trên cơ sở thẩm quyền được giao tại khoản 2 Điều 6 Nghị định số 140/2024/NĐ-CP ngày 25/10/2024 của Chính phủ quy định về thanh lý rừng trồng.</w:t>
            </w:r>
          </w:p>
          <w:p w14:paraId="5A4C84FF" w14:textId="1C65D467" w:rsidR="00670882" w:rsidRDefault="00670882" w:rsidP="003F7A37">
            <w:pPr>
              <w:widowControl w:val="0"/>
              <w:spacing w:before="120"/>
              <w:ind w:firstLine="720"/>
              <w:jc w:val="both"/>
              <w:rPr>
                <w:color w:val="000000"/>
                <w:szCs w:val="28"/>
                <w:shd w:val="clear" w:color="auto" w:fill="FFFFFF"/>
              </w:rPr>
            </w:pPr>
            <w:r w:rsidRPr="00D92930">
              <w:rPr>
                <w:bCs/>
                <w:spacing w:val="-2"/>
              </w:rPr>
              <w:t xml:space="preserve">Theo quy định tại điểm b khoản 3 Điều 26a Luật Lâm nghiệp số 16/2017/QH14 (được sửa đổi, bổ sung tại khoản 9 Điều 8 Luật sửa đổi, bổ sung một số điều của 15 luật trong lĩnh vực nông nghiệp và môi trường số 146/2025/QH15 có hiệu lực thi hành từ ngày 01/01/2026), việc quy định thẩm quyền quyết định thanh lý rừng trồng đã được Quốc hội giao </w:t>
            </w:r>
            <w:r w:rsidRPr="00D92930">
              <w:rPr>
                <w:bCs/>
                <w:i/>
                <w:spacing w:val="-2"/>
              </w:rPr>
              <w:t>“</w:t>
            </w:r>
            <w:r w:rsidRPr="00D92930">
              <w:rPr>
                <w:i/>
                <w:spacing w:val="-2"/>
                <w:lang w:val="nb-NO"/>
              </w:rPr>
              <w:t>Chủ tịch Ủy ban nhân dân cấp tỉnh quyết định thanh lý rừng trồng thuộc phạm vi quản lý của địa phương.”</w:t>
            </w:r>
            <w:r w:rsidRPr="00D92930">
              <w:rPr>
                <w:spacing w:val="-2"/>
                <w:lang w:val="nb-NO"/>
              </w:rPr>
              <w:t xml:space="preserve">. Đồng thời, tại khoản 3 Điều 34a Nghị định số 156/2018/NĐ-CP của Chính phủ quy định chi tiết thi hành một số điều của Luật Lâm nghiệp (được bổ sung tại Điều 10 Nghị định số 42/2026/NĐ-CP của Chính phủ sửa đổi, bổ sung một số điều của các Nghị định trong lĩnh vực lâm nghiệp và kiểm lâm </w:t>
            </w:r>
            <w:r w:rsidRPr="00D92930">
              <w:rPr>
                <w:bCs/>
                <w:spacing w:val="-2"/>
              </w:rPr>
              <w:t>có hiệu lực thi hành từ ngày 26/01/2026</w:t>
            </w:r>
            <w:r w:rsidRPr="00D92930">
              <w:rPr>
                <w:spacing w:val="-2"/>
                <w:lang w:val="nb-NO"/>
              </w:rPr>
              <w:t xml:space="preserve">) quy định: </w:t>
            </w:r>
            <w:r w:rsidRPr="00D92930">
              <w:rPr>
                <w:i/>
                <w:spacing w:val="-2"/>
                <w:lang w:val="nb-NO"/>
              </w:rPr>
              <w:t>“Thẩm quyền quyết định thanh lý rừng trồng theo quy định tại khoản 3 Điều 26a Luật Lâm nghiệp.”</w:t>
            </w:r>
            <w:r w:rsidRPr="00D92930">
              <w:rPr>
                <w:spacing w:val="-2"/>
                <w:lang w:val="nb-NO"/>
              </w:rPr>
              <w:t xml:space="preserve"> và tại điểm c khoản 1 Điều 69 Nghị định số </w:t>
            </w:r>
            <w:r w:rsidRPr="00D92930">
              <w:rPr>
                <w:spacing w:val="-2"/>
                <w:lang w:val="nb-NO"/>
              </w:rPr>
              <w:lastRenderedPageBreak/>
              <w:t>42/2026/NĐ-CP đã bãi bỏ Nghị định số 140/2024/NĐ-CP</w:t>
            </w:r>
            <w:r>
              <w:rPr>
                <w:spacing w:val="-2"/>
                <w:lang w:val="nb-NO"/>
              </w:rPr>
              <w:t>.</w:t>
            </w:r>
          </w:p>
          <w:p w14:paraId="0D6B4BD8" w14:textId="76E49C8B" w:rsidR="006D0A51" w:rsidRPr="00882647" w:rsidRDefault="00755304" w:rsidP="001C75DA">
            <w:pPr>
              <w:spacing w:before="40" w:after="40" w:line="276" w:lineRule="auto"/>
              <w:ind w:firstLine="560"/>
              <w:jc w:val="both"/>
              <w:rPr>
                <w:color w:val="000000"/>
                <w:szCs w:val="28"/>
                <w:shd w:val="clear" w:color="auto" w:fill="FFFFFF"/>
              </w:rPr>
            </w:pPr>
            <w:r w:rsidRPr="00882647">
              <w:rPr>
                <w:color w:val="000000"/>
                <w:szCs w:val="28"/>
                <w:shd w:val="clear" w:color="auto" w:fill="FFFFFF"/>
              </w:rPr>
              <w:t xml:space="preserve">1. Quyết định số 44/2015/QĐ-UBND không còn phù hợp với Luật Công chứng số </w:t>
            </w:r>
            <w:r w:rsidRPr="00882647">
              <w:rPr>
                <w:color w:val="000000"/>
                <w:szCs w:val="28"/>
              </w:rPr>
              <w:t>46/2024/QH15. Khoản 2, 4 Điều 2, Điều 4, khoản 2 Điều 6 Quy định b</w:t>
            </w:r>
            <w:r w:rsidRPr="00882647">
              <w:rPr>
                <w:color w:val="000000"/>
                <w:szCs w:val="28"/>
                <w:shd w:val="clear" w:color="auto" w:fill="FFFFFF"/>
                <w:lang w:val="vi-VN"/>
              </w:rPr>
              <w:t>an hành k</w:t>
            </w:r>
            <w:r w:rsidRPr="00882647">
              <w:rPr>
                <w:color w:val="000000"/>
                <w:szCs w:val="28"/>
                <w:shd w:val="clear" w:color="auto" w:fill="FFFFFF"/>
              </w:rPr>
              <w:t>è</w:t>
            </w:r>
            <w:r w:rsidRPr="00882647">
              <w:rPr>
                <w:color w:val="000000"/>
                <w:szCs w:val="28"/>
                <w:shd w:val="clear" w:color="auto" w:fill="FFFFFF"/>
                <w:lang w:val="vi-VN"/>
              </w:rPr>
              <w:t>m theo</w:t>
            </w:r>
            <w:r w:rsidRPr="00882647">
              <w:rPr>
                <w:i/>
                <w:iCs/>
                <w:color w:val="000000"/>
                <w:szCs w:val="28"/>
                <w:shd w:val="clear" w:color="auto" w:fill="FFFFFF"/>
                <w:lang w:val="vi-VN"/>
              </w:rPr>
              <w:t> </w:t>
            </w:r>
            <w:r w:rsidRPr="00882647">
              <w:rPr>
                <w:color w:val="000000"/>
                <w:szCs w:val="28"/>
              </w:rPr>
              <w:t>Quyết định số 44/2015/QĐ-UBND không còn phù hợp với mô hình chính quyền địa phương 02 cấp. Khoản 3 Điều 2 Quy định b</w:t>
            </w:r>
            <w:r w:rsidRPr="00882647">
              <w:rPr>
                <w:color w:val="000000"/>
                <w:szCs w:val="28"/>
                <w:shd w:val="clear" w:color="auto" w:fill="FFFFFF"/>
                <w:lang w:val="vi-VN"/>
              </w:rPr>
              <w:t>an hành k</w:t>
            </w:r>
            <w:r w:rsidRPr="00882647">
              <w:rPr>
                <w:color w:val="000000"/>
                <w:szCs w:val="28"/>
                <w:shd w:val="clear" w:color="auto" w:fill="FFFFFF"/>
              </w:rPr>
              <w:t>è</w:t>
            </w:r>
            <w:r w:rsidRPr="00882647">
              <w:rPr>
                <w:color w:val="000000"/>
                <w:szCs w:val="28"/>
                <w:shd w:val="clear" w:color="auto" w:fill="FFFFFF"/>
                <w:lang w:val="vi-VN"/>
              </w:rPr>
              <w:t>m theo</w:t>
            </w:r>
            <w:r w:rsidRPr="00882647">
              <w:rPr>
                <w:i/>
                <w:iCs/>
                <w:color w:val="000000"/>
                <w:szCs w:val="28"/>
                <w:shd w:val="clear" w:color="auto" w:fill="FFFFFF"/>
                <w:lang w:val="vi-VN"/>
              </w:rPr>
              <w:t> </w:t>
            </w:r>
            <w:r w:rsidRPr="00882647">
              <w:rPr>
                <w:color w:val="000000"/>
                <w:szCs w:val="28"/>
              </w:rPr>
              <w:t>Quyết định số 44/2015/QĐ-UBND</w:t>
            </w:r>
            <w:r w:rsidRPr="00882647">
              <w:rPr>
                <w:color w:val="000000"/>
                <w:szCs w:val="28"/>
                <w:shd w:val="clear" w:color="auto" w:fill="FFFFFF"/>
                <w:lang w:val="vi-VN"/>
              </w:rPr>
              <w:t xml:space="preserve"> </w:t>
            </w:r>
            <w:r w:rsidRPr="00882647">
              <w:rPr>
                <w:color w:val="000000"/>
                <w:szCs w:val="28"/>
                <w:shd w:val="clear" w:color="auto" w:fill="FFFFFF"/>
              </w:rPr>
              <w:t>có quy định liên quan đến “</w:t>
            </w:r>
            <w:r w:rsidRPr="00882647">
              <w:rPr>
                <w:color w:val="000000"/>
                <w:szCs w:val="28"/>
                <w:shd w:val="clear" w:color="auto" w:fill="FFFFFF"/>
                <w:lang w:val="vi-VN"/>
              </w:rPr>
              <w:t>thị </w:t>
            </w:r>
            <w:r w:rsidRPr="00882647">
              <w:rPr>
                <w:color w:val="000000"/>
                <w:szCs w:val="28"/>
                <w:shd w:val="clear" w:color="auto" w:fill="FFFFFF"/>
              </w:rPr>
              <w:t>tr</w:t>
            </w:r>
            <w:r w:rsidRPr="00882647">
              <w:rPr>
                <w:color w:val="000000"/>
                <w:szCs w:val="28"/>
                <w:shd w:val="clear" w:color="auto" w:fill="FFFFFF"/>
                <w:lang w:val="vi-VN"/>
              </w:rPr>
              <w:t>ấn</w:t>
            </w:r>
            <w:r w:rsidRPr="00882647">
              <w:rPr>
                <w:color w:val="000000"/>
                <w:szCs w:val="28"/>
                <w:shd w:val="clear" w:color="auto" w:fill="FFFFFF"/>
              </w:rPr>
              <w:t xml:space="preserve">”, </w:t>
            </w:r>
            <w:r w:rsidRPr="00882647">
              <w:rPr>
                <w:color w:val="000000"/>
                <w:szCs w:val="28"/>
              </w:rPr>
              <w:t>không còn phù hợp với quy định tại khoản 40 Điều 1 Nghị quyết số 1675/</w:t>
            </w:r>
            <w:r w:rsidRPr="00882647">
              <w:rPr>
                <w:color w:val="000000"/>
                <w:szCs w:val="28"/>
                <w:shd w:val="clear" w:color="auto" w:fill="FFFFFF"/>
              </w:rPr>
              <w:t>NQ-UBTVQH15.</w:t>
            </w:r>
          </w:p>
        </w:tc>
      </w:tr>
      <w:tr w:rsidR="001C75DA" w:rsidRPr="00882647" w14:paraId="7DE9BA96" w14:textId="77777777" w:rsidTr="00315F16">
        <w:tc>
          <w:tcPr>
            <w:tcW w:w="5555" w:type="dxa"/>
          </w:tcPr>
          <w:p w14:paraId="14DE3B12" w14:textId="77777777" w:rsidR="001C75DA" w:rsidRPr="00882647" w:rsidRDefault="001C75DA" w:rsidP="001C75DA">
            <w:pPr>
              <w:widowControl w:val="0"/>
              <w:spacing w:before="120"/>
              <w:ind w:firstLine="720"/>
              <w:jc w:val="both"/>
              <w:rPr>
                <w:szCs w:val="28"/>
                <w:lang w:val="af-ZA"/>
              </w:rPr>
            </w:pPr>
            <w:r w:rsidRPr="00882647">
              <w:rPr>
                <w:b/>
                <w:szCs w:val="28"/>
                <w:lang w:val="af-ZA"/>
              </w:rPr>
              <w:lastRenderedPageBreak/>
              <w:t>Điều 2.</w:t>
            </w:r>
            <w:r w:rsidRPr="00882647">
              <w:rPr>
                <w:szCs w:val="28"/>
                <w:lang w:val="af-ZA"/>
              </w:rPr>
              <w:t xml:space="preserve"> </w:t>
            </w:r>
            <w:r w:rsidRPr="00882647">
              <w:rPr>
                <w:b/>
                <w:bCs/>
                <w:szCs w:val="28"/>
              </w:rPr>
              <w:t>Hiệu lực thi hành</w:t>
            </w:r>
          </w:p>
          <w:p w14:paraId="5E67BA4A" w14:textId="30C12AA5" w:rsidR="001C75DA" w:rsidRPr="00882647" w:rsidRDefault="001C75DA" w:rsidP="001C75DA">
            <w:pPr>
              <w:widowControl w:val="0"/>
              <w:spacing w:before="120"/>
              <w:ind w:firstLine="720"/>
              <w:jc w:val="both"/>
              <w:rPr>
                <w:szCs w:val="28"/>
                <w:lang w:val="af-ZA"/>
              </w:rPr>
            </w:pPr>
            <w:r w:rsidRPr="00882647">
              <w:rPr>
                <w:szCs w:val="28"/>
                <w:lang w:val="af-ZA"/>
              </w:rPr>
              <w:t>Nghị quyết này có hiệu lực kể từ ngày ... tháng ... năm 2026.</w:t>
            </w:r>
          </w:p>
        </w:tc>
        <w:tc>
          <w:tcPr>
            <w:tcW w:w="8474" w:type="dxa"/>
          </w:tcPr>
          <w:p w14:paraId="4C629B39" w14:textId="140843FD" w:rsidR="001C75DA" w:rsidRPr="00882647" w:rsidRDefault="00882647" w:rsidP="00EC23C6">
            <w:pPr>
              <w:widowControl w:val="0"/>
              <w:spacing w:before="120"/>
              <w:ind w:firstLine="720"/>
              <w:jc w:val="both"/>
              <w:rPr>
                <w:szCs w:val="28"/>
              </w:rPr>
            </w:pPr>
            <w:r w:rsidRPr="00EC23C6">
              <w:rPr>
                <w:szCs w:val="28"/>
                <w:lang w:val="af-ZA"/>
              </w:rPr>
              <w:t>Quy định hiệu lực thi hành tại Điều 2 dự thảo để xác định chính xác thời điểm chấm dứt hiệu lực toàn bộ của Nghị quyết tại Điều 1 dự thảo.</w:t>
            </w:r>
            <w:r w:rsidRPr="00882647">
              <w:rPr>
                <w:szCs w:val="28"/>
              </w:rPr>
              <w:t xml:space="preserve"> </w:t>
            </w:r>
          </w:p>
        </w:tc>
      </w:tr>
      <w:tr w:rsidR="001C75DA" w:rsidRPr="00882647" w14:paraId="49626796" w14:textId="77777777" w:rsidTr="00315F16">
        <w:tc>
          <w:tcPr>
            <w:tcW w:w="5555" w:type="dxa"/>
          </w:tcPr>
          <w:p w14:paraId="2907C089" w14:textId="77777777" w:rsidR="001C75DA" w:rsidRPr="00882647" w:rsidRDefault="001C75DA" w:rsidP="001C75DA">
            <w:pPr>
              <w:widowControl w:val="0"/>
              <w:spacing w:before="120"/>
              <w:ind w:firstLine="720"/>
              <w:jc w:val="both"/>
              <w:rPr>
                <w:b/>
                <w:szCs w:val="28"/>
                <w:lang w:val="af-ZA"/>
              </w:rPr>
            </w:pPr>
            <w:r w:rsidRPr="00882647">
              <w:rPr>
                <w:b/>
                <w:szCs w:val="28"/>
                <w:lang w:val="af-ZA"/>
              </w:rPr>
              <w:t>Điều 3. Tổ chức thực hiện</w:t>
            </w:r>
          </w:p>
          <w:p w14:paraId="29720570" w14:textId="77777777" w:rsidR="001C75DA" w:rsidRPr="00882647" w:rsidRDefault="001C75DA" w:rsidP="001C75DA">
            <w:pPr>
              <w:widowControl w:val="0"/>
              <w:spacing w:before="120"/>
              <w:ind w:firstLine="720"/>
              <w:jc w:val="both"/>
              <w:rPr>
                <w:szCs w:val="28"/>
                <w:lang w:val="af-ZA"/>
              </w:rPr>
            </w:pPr>
            <w:r w:rsidRPr="00882647">
              <w:rPr>
                <w:szCs w:val="28"/>
                <w:lang w:val="af-ZA"/>
              </w:rPr>
              <w:t>1. Giao Ủy ban nhân dân thành phố triển khai thực hiện Nghị quyết.</w:t>
            </w:r>
          </w:p>
          <w:p w14:paraId="27A7B3B0" w14:textId="4C50D6CF" w:rsidR="001C75DA" w:rsidRPr="00214D97" w:rsidRDefault="001C75DA" w:rsidP="00214D97">
            <w:pPr>
              <w:widowControl w:val="0"/>
              <w:spacing w:before="120"/>
              <w:ind w:firstLine="720"/>
              <w:jc w:val="both"/>
              <w:rPr>
                <w:szCs w:val="28"/>
                <w:lang w:val="pl-PL"/>
              </w:rPr>
            </w:pPr>
            <w:r w:rsidRPr="00882647">
              <w:rPr>
                <w:spacing w:val="6"/>
                <w:szCs w:val="28"/>
                <w:lang w:val="pl-PL"/>
              </w:rPr>
              <w:t>2. Giao Thường trực Hội đồng nhân dân, các Ban Hội đồng nhân dân, Tổ</w:t>
            </w:r>
            <w:r w:rsidRPr="00882647">
              <w:rPr>
                <w:szCs w:val="28"/>
                <w:lang w:val="pl-PL"/>
              </w:rPr>
              <w:t xml:space="preserve"> đại biểu và các đại biểu Hội đồng nhân dân thành phố trong phạm vi, nhiệm vụ, quyền hạn giám sát việc triển khai thực hiện Nghị quyết.</w:t>
            </w:r>
          </w:p>
        </w:tc>
        <w:tc>
          <w:tcPr>
            <w:tcW w:w="8474" w:type="dxa"/>
          </w:tcPr>
          <w:p w14:paraId="67A53EAD" w14:textId="5E9657EF" w:rsidR="001C75DA" w:rsidRPr="00EC23C6" w:rsidRDefault="00882647" w:rsidP="00EC23C6">
            <w:pPr>
              <w:widowControl w:val="0"/>
              <w:spacing w:before="120"/>
              <w:ind w:firstLine="720"/>
              <w:jc w:val="both"/>
              <w:rPr>
                <w:color w:val="000000"/>
                <w:szCs w:val="28"/>
                <w:shd w:val="clear" w:color="auto" w:fill="FFFFFF"/>
              </w:rPr>
            </w:pPr>
            <w:r w:rsidRPr="00EC23C6">
              <w:rPr>
                <w:szCs w:val="28"/>
                <w:lang w:val="af-ZA"/>
              </w:rPr>
              <w:t>Điều 3 dự thảo quy định trách nhiệm thi hành của các cơ quan, đơn vị.</w:t>
            </w:r>
          </w:p>
        </w:tc>
      </w:tr>
    </w:tbl>
    <w:p w14:paraId="7E9AA1EA" w14:textId="77777777" w:rsidR="00D8762F" w:rsidRDefault="00D8762F"/>
    <w:sectPr w:rsidR="00D8762F" w:rsidSect="00D67B44">
      <w:headerReference w:type="default" r:id="rId6"/>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730A0" w14:textId="77777777" w:rsidR="00D46961" w:rsidRDefault="00D46961" w:rsidP="00D67B44">
      <w:pPr>
        <w:spacing w:after="0" w:line="240" w:lineRule="auto"/>
      </w:pPr>
      <w:r>
        <w:separator/>
      </w:r>
    </w:p>
  </w:endnote>
  <w:endnote w:type="continuationSeparator" w:id="0">
    <w:p w14:paraId="7A02F6BA" w14:textId="77777777" w:rsidR="00D46961" w:rsidRDefault="00D46961" w:rsidP="00D6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C0347" w14:textId="77777777" w:rsidR="00D46961" w:rsidRDefault="00D46961" w:rsidP="00D67B44">
      <w:pPr>
        <w:spacing w:after="0" w:line="240" w:lineRule="auto"/>
      </w:pPr>
      <w:r>
        <w:separator/>
      </w:r>
    </w:p>
  </w:footnote>
  <w:footnote w:type="continuationSeparator" w:id="0">
    <w:p w14:paraId="0FB7339A" w14:textId="77777777" w:rsidR="00D46961" w:rsidRDefault="00D46961" w:rsidP="00D67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728522"/>
      <w:docPartObj>
        <w:docPartGallery w:val="Page Numbers (Top of Page)"/>
        <w:docPartUnique/>
      </w:docPartObj>
    </w:sdtPr>
    <w:sdtEndPr>
      <w:rPr>
        <w:noProof/>
      </w:rPr>
    </w:sdtEndPr>
    <w:sdtContent>
      <w:p w14:paraId="2D51B011" w14:textId="56527A1F" w:rsidR="00D67B44" w:rsidRDefault="00D67B44">
        <w:pPr>
          <w:pStyle w:val="Header"/>
          <w:jc w:val="center"/>
        </w:pPr>
        <w:r>
          <w:fldChar w:fldCharType="begin"/>
        </w:r>
        <w:r>
          <w:instrText xml:space="preserve"> PAGE   \* MERGEFORMAT </w:instrText>
        </w:r>
        <w:r>
          <w:fldChar w:fldCharType="separate"/>
        </w:r>
        <w:r w:rsidR="009F4CAE">
          <w:rPr>
            <w:noProof/>
          </w:rPr>
          <w:t>2</w:t>
        </w:r>
        <w:r>
          <w:rPr>
            <w:noProof/>
          </w:rPr>
          <w:fldChar w:fldCharType="end"/>
        </w:r>
      </w:p>
    </w:sdtContent>
  </w:sdt>
  <w:p w14:paraId="63B4D83A" w14:textId="77777777" w:rsidR="00D67B44" w:rsidRDefault="00D67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2F"/>
    <w:rsid w:val="00024339"/>
    <w:rsid w:val="00125D61"/>
    <w:rsid w:val="001661F3"/>
    <w:rsid w:val="0018075F"/>
    <w:rsid w:val="001B04DE"/>
    <w:rsid w:val="001C75DA"/>
    <w:rsid w:val="00214D97"/>
    <w:rsid w:val="002D305C"/>
    <w:rsid w:val="002D68E7"/>
    <w:rsid w:val="00315F16"/>
    <w:rsid w:val="00386C8A"/>
    <w:rsid w:val="003F7A37"/>
    <w:rsid w:val="00402CB3"/>
    <w:rsid w:val="00482102"/>
    <w:rsid w:val="004C3FF3"/>
    <w:rsid w:val="004E5911"/>
    <w:rsid w:val="00595231"/>
    <w:rsid w:val="00670882"/>
    <w:rsid w:val="006D0A51"/>
    <w:rsid w:val="006F6E59"/>
    <w:rsid w:val="00755304"/>
    <w:rsid w:val="00756828"/>
    <w:rsid w:val="00882647"/>
    <w:rsid w:val="008A67DF"/>
    <w:rsid w:val="008C1E3B"/>
    <w:rsid w:val="00990889"/>
    <w:rsid w:val="009F4CAE"/>
    <w:rsid w:val="00A11B39"/>
    <w:rsid w:val="00AE4EBD"/>
    <w:rsid w:val="00B43416"/>
    <w:rsid w:val="00B576F3"/>
    <w:rsid w:val="00CF3D88"/>
    <w:rsid w:val="00D32EC9"/>
    <w:rsid w:val="00D46961"/>
    <w:rsid w:val="00D67B44"/>
    <w:rsid w:val="00D8762F"/>
    <w:rsid w:val="00DC4167"/>
    <w:rsid w:val="00DE2ADA"/>
    <w:rsid w:val="00E03426"/>
    <w:rsid w:val="00E151D7"/>
    <w:rsid w:val="00E2103C"/>
    <w:rsid w:val="00E22F0F"/>
    <w:rsid w:val="00EC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A2F8"/>
  <w15:chartTrackingRefBased/>
  <w15:docId w15:val="{E6BA0584-BD50-4774-B38D-FC8F480A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B44"/>
  </w:style>
  <w:style w:type="paragraph" w:styleId="Footer">
    <w:name w:val="footer"/>
    <w:basedOn w:val="Normal"/>
    <w:link w:val="FooterChar"/>
    <w:uiPriority w:val="99"/>
    <w:unhideWhenUsed/>
    <w:rsid w:val="00D6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B44"/>
  </w:style>
  <w:style w:type="paragraph" w:styleId="ListParagraph">
    <w:name w:val="List Paragraph"/>
    <w:basedOn w:val="Normal"/>
    <w:uiPriority w:val="34"/>
    <w:qFormat/>
    <w:rsid w:val="00755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CMS</cp:lastModifiedBy>
  <cp:revision>16</cp:revision>
  <dcterms:created xsi:type="dcterms:W3CDTF">2026-05-09T10:56:00Z</dcterms:created>
  <dcterms:modified xsi:type="dcterms:W3CDTF">2026-05-09T11:15:00Z</dcterms:modified>
</cp:coreProperties>
</file>